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90862450"/>
        <w:docPartObj>
          <w:docPartGallery w:val="Cover Pages"/>
          <w:docPartUnique/>
        </w:docPartObj>
      </w:sdtPr>
      <w:sdtEndPr>
        <w:rPr>
          <w:rFonts w:ascii="Arial" w:eastAsiaTheme="minorHAnsi" w:hAnsi="Arial" w:cs="Arial"/>
          <w:color w:val="auto"/>
          <w:sz w:val="24"/>
          <w:lang w:val="es-MX"/>
        </w:rPr>
      </w:sdtEndPr>
      <w:sdtContent>
        <w:p w:rsidR="00CE7C88" w:rsidRDefault="00CE7C88">
          <w:pPr>
            <w:pStyle w:val="Sinespaciado"/>
            <w:spacing w:before="1540" w:after="240"/>
            <w:jc w:val="center"/>
            <w:rPr>
              <w:color w:val="5B9BD5" w:themeColor="accent1"/>
            </w:rPr>
          </w:pPr>
          <w:r>
            <w:rPr>
              <w:noProof/>
              <w:color w:val="5B9BD5" w:themeColor="accent1"/>
            </w:rPr>
            <w:drawing>
              <wp:inline distT="0" distB="0" distL="0" distR="0">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lang w:val="es-MX"/>
            </w:rPr>
            <w:alias w:val="Título"/>
            <w:tag w:val=""/>
            <w:id w:val="1735040861"/>
            <w:placeholder>
              <w:docPart w:val="68E0901A167C4D3F8E8870048EFB0EE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CE7C88" w:rsidRPr="00CE7C88" w:rsidRDefault="00CE7C88">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lang w:val="es-MX"/>
                </w:rPr>
              </w:pPr>
              <w:r w:rsidRPr="00CE7C88">
                <w:rPr>
                  <w:rFonts w:asciiTheme="majorHAnsi" w:eastAsiaTheme="majorEastAsia" w:hAnsiTheme="majorHAnsi" w:cstheme="majorBidi"/>
                  <w:caps/>
                  <w:color w:val="5B9BD5" w:themeColor="accent1"/>
                  <w:sz w:val="72"/>
                  <w:szCs w:val="72"/>
                  <w:lang w:val="es-MX"/>
                </w:rPr>
                <w:t>ensayo</w:t>
              </w:r>
            </w:p>
          </w:sdtContent>
        </w:sdt>
        <w:sdt>
          <w:sdtPr>
            <w:rPr>
              <w:color w:val="5B9BD5" w:themeColor="accent1"/>
              <w:sz w:val="28"/>
              <w:szCs w:val="28"/>
              <w:lang w:val="es-MX"/>
            </w:rPr>
            <w:alias w:val="Subtítulo"/>
            <w:tag w:val=""/>
            <w:id w:val="328029620"/>
            <w:placeholder>
              <w:docPart w:val="5B2897B3910B4AF09D615A6D7F95FCEE"/>
            </w:placeholder>
            <w:dataBinding w:prefixMappings="xmlns:ns0='http://purl.org/dc/elements/1.1/' xmlns:ns1='http://schemas.openxmlformats.org/package/2006/metadata/core-properties' " w:xpath="/ns1:coreProperties[1]/ns0:subject[1]" w:storeItemID="{6C3C8BC8-F283-45AE-878A-BAB7291924A1}"/>
            <w:text/>
          </w:sdtPr>
          <w:sdtContent>
            <w:p w:rsidR="00CE7C88" w:rsidRPr="00CE7C88" w:rsidRDefault="00CE7C88">
              <w:pPr>
                <w:pStyle w:val="Sinespaciado"/>
                <w:jc w:val="center"/>
                <w:rPr>
                  <w:color w:val="5B9BD5" w:themeColor="accent1"/>
                  <w:sz w:val="28"/>
                  <w:szCs w:val="28"/>
                  <w:lang w:val="es-MX"/>
                </w:rPr>
              </w:pPr>
              <w:r w:rsidRPr="00CE7C88">
                <w:rPr>
                  <w:color w:val="5B9BD5" w:themeColor="accent1"/>
                  <w:sz w:val="28"/>
                  <w:szCs w:val="28"/>
                  <w:lang w:val="es-MX"/>
                </w:rPr>
                <w:t>D</w:t>
              </w:r>
              <w:r>
                <w:rPr>
                  <w:color w:val="5B9BD5" w:themeColor="accent1"/>
                  <w:sz w:val="28"/>
                  <w:szCs w:val="28"/>
                  <w:lang w:val="es-MX"/>
                </w:rPr>
                <w:t>ivisió</w:t>
              </w:r>
              <w:r w:rsidRPr="00CE7C88">
                <w:rPr>
                  <w:color w:val="5B9BD5" w:themeColor="accent1"/>
                  <w:sz w:val="28"/>
                  <w:szCs w:val="28"/>
                  <w:lang w:val="es-MX"/>
                </w:rPr>
                <w:t xml:space="preserve">n </w:t>
              </w:r>
              <w:r>
                <w:rPr>
                  <w:color w:val="5B9BD5" w:themeColor="accent1"/>
                  <w:sz w:val="28"/>
                  <w:szCs w:val="28"/>
                  <w:lang w:val="es-MX"/>
                </w:rPr>
                <w:t>de P</w:t>
              </w:r>
              <w:r w:rsidRPr="00CE7C88">
                <w:rPr>
                  <w:color w:val="5B9BD5" w:themeColor="accent1"/>
                  <w:sz w:val="28"/>
                  <w:szCs w:val="28"/>
                  <w:lang w:val="es-MX"/>
                </w:rPr>
                <w:t>oderes en M</w:t>
              </w:r>
              <w:r>
                <w:rPr>
                  <w:color w:val="5B9BD5" w:themeColor="accent1"/>
                  <w:sz w:val="28"/>
                  <w:szCs w:val="28"/>
                  <w:lang w:val="es-MX"/>
                </w:rPr>
                <w:t>éxico</w:t>
              </w:r>
            </w:p>
          </w:sdtContent>
        </w:sdt>
        <w:p w:rsidR="00CE7C88" w:rsidRDefault="00CE7C88">
          <w:pPr>
            <w:pStyle w:val="Sinespaciado"/>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24-10-16T00:00:00Z">
                                    <w:dateFormat w:val="d 'de' MMMM 'de' yyyy"/>
                                    <w:lid w:val="es-ES"/>
                                    <w:storeMappedDataAs w:val="dateTime"/>
                                    <w:calendar w:val="gregorian"/>
                                  </w:date>
                                </w:sdtPr>
                                <w:sdtContent>
                                  <w:p w:rsidR="00CE7C88" w:rsidRPr="00CE7C88" w:rsidRDefault="00CE7C88">
                                    <w:pPr>
                                      <w:pStyle w:val="Sinespaciado"/>
                                      <w:spacing w:after="40"/>
                                      <w:jc w:val="center"/>
                                      <w:rPr>
                                        <w:caps/>
                                        <w:color w:val="5B9BD5" w:themeColor="accent1"/>
                                        <w:sz w:val="28"/>
                                        <w:szCs w:val="28"/>
                                        <w:lang w:val="es-MX"/>
                                      </w:rPr>
                                    </w:pPr>
                                    <w:r>
                                      <w:rPr>
                                        <w:caps/>
                                        <w:color w:val="5B9BD5" w:themeColor="accent1"/>
                                        <w:sz w:val="28"/>
                                        <w:szCs w:val="28"/>
                                        <w:lang w:val="es-ES"/>
                                      </w:rPr>
                                      <w:t>16 de octubre de 2024</w:t>
                                    </w:r>
                                  </w:p>
                                </w:sdtContent>
                              </w:sdt>
                              <w:p w:rsidR="00CE7C88" w:rsidRPr="00CE7C88" w:rsidRDefault="00CE7C88">
                                <w:pPr>
                                  <w:pStyle w:val="Sinespaciado"/>
                                  <w:jc w:val="center"/>
                                  <w:rPr>
                                    <w:color w:val="5B9BD5" w:themeColor="accent1"/>
                                    <w:lang w:val="es-MX"/>
                                  </w:rPr>
                                </w:pPr>
                                <w:sdt>
                                  <w:sdtPr>
                                    <w:rPr>
                                      <w:caps/>
                                      <w:color w:val="5B9BD5" w:themeColor="accent1"/>
                                      <w:lang w:val="es-MX"/>
                                    </w:rPr>
                                    <w:alias w:val="Compañía"/>
                                    <w:tag w:val=""/>
                                    <w:id w:val="1390145197"/>
                                    <w:dataBinding w:prefixMappings="xmlns:ns0='http://schemas.openxmlformats.org/officeDocument/2006/extended-properties' " w:xpath="/ns0:Properties[1]/ns0:Company[1]" w:storeItemID="{6668398D-A668-4E3E-A5EB-62B293D839F1}"/>
                                    <w:text/>
                                  </w:sdtPr>
                                  <w:sdtContent>
                                    <w:r w:rsidRPr="00CE7C88">
                                      <w:rPr>
                                        <w:caps/>
                                        <w:color w:val="5B9BD5" w:themeColor="accent1"/>
                                        <w:lang w:val="es-MX"/>
                                      </w:rPr>
                                      <w:t>minerva berenice ortiz herrera</w:t>
                                    </w:r>
                                  </w:sdtContent>
                                </w:sdt>
                              </w:p>
                              <w:p w:rsidR="00CE7C88" w:rsidRDefault="00CE7C88">
                                <w:pPr>
                                  <w:pStyle w:val="Sinespaciado"/>
                                  <w:jc w:val="center"/>
                                  <w:rPr>
                                    <w:color w:val="5B9BD5" w:themeColor="accent1"/>
                                  </w:rPr>
                                </w:pPr>
                                <w:sdt>
                                  <w:sdtPr>
                                    <w:rPr>
                                      <w:color w:val="5B9BD5" w:themeColor="accent1"/>
                                    </w:rPr>
                                    <w:alias w:val="Dirección"/>
                                    <w:tag w:val=""/>
                                    <w:id w:val="-726379553"/>
                                    <w:dataBinding w:prefixMappings="xmlns:ns0='http://schemas.microsoft.com/office/2006/coverPageProps' " w:xpath="/ns0:CoverPageProperties[1]/ns0:CompanyAddress[1]" w:storeItemID="{55AF091B-3C7A-41E3-B477-F2FDAA23CFDA}"/>
                                    <w:text/>
                                  </w:sdtPr>
                                  <w:sdtContent>
                                    <w:proofErr w:type="spellStart"/>
                                    <w:r>
                                      <w:rPr>
                                        <w:color w:val="5B9BD5" w:themeColor="accent1"/>
                                      </w:rPr>
                                      <w:t>Semana</w:t>
                                    </w:r>
                                    <w:proofErr w:type="spellEnd"/>
                                    <w:r>
                                      <w:rPr>
                                        <w:color w:val="5B9BD5" w:themeColor="accent1"/>
                                      </w:rPr>
                                      <w:t xml:space="preserve"> 4, </w:t>
                                    </w:r>
                                    <w:proofErr w:type="spellStart"/>
                                    <w:r>
                                      <w:rPr>
                                        <w:color w:val="5B9BD5" w:themeColor="accent1"/>
                                      </w:rPr>
                                      <w:t>Actividad</w:t>
                                    </w:r>
                                    <w:proofErr w:type="spellEnd"/>
                                    <w:r>
                                      <w:rPr>
                                        <w:color w:val="5B9BD5" w:themeColor="accent1"/>
                                      </w:rPr>
                                      <w:t xml:space="preserve"> 4, Derecho Constitucional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5B9BD5" w:themeColor="accent1"/>
                              <w:sz w:val="28"/>
                              <w:szCs w:val="28"/>
                            </w:rPr>
                            <w:alias w:val="Fecha"/>
                            <w:tag w:val=""/>
                            <w:id w:val="197127006"/>
                            <w:dataBinding w:prefixMappings="xmlns:ns0='http://schemas.microsoft.com/office/2006/coverPageProps' " w:xpath="/ns0:CoverPageProperties[1]/ns0:PublishDate[1]" w:storeItemID="{55AF091B-3C7A-41E3-B477-F2FDAA23CFDA}"/>
                            <w:date w:fullDate="2024-10-16T00:00:00Z">
                              <w:dateFormat w:val="d 'de' MMMM 'de' yyyy"/>
                              <w:lid w:val="es-ES"/>
                              <w:storeMappedDataAs w:val="dateTime"/>
                              <w:calendar w:val="gregorian"/>
                            </w:date>
                          </w:sdtPr>
                          <w:sdtContent>
                            <w:p w:rsidR="00CE7C88" w:rsidRPr="00CE7C88" w:rsidRDefault="00CE7C88">
                              <w:pPr>
                                <w:pStyle w:val="Sinespaciado"/>
                                <w:spacing w:after="40"/>
                                <w:jc w:val="center"/>
                                <w:rPr>
                                  <w:caps/>
                                  <w:color w:val="5B9BD5" w:themeColor="accent1"/>
                                  <w:sz w:val="28"/>
                                  <w:szCs w:val="28"/>
                                  <w:lang w:val="es-MX"/>
                                </w:rPr>
                              </w:pPr>
                              <w:r>
                                <w:rPr>
                                  <w:caps/>
                                  <w:color w:val="5B9BD5" w:themeColor="accent1"/>
                                  <w:sz w:val="28"/>
                                  <w:szCs w:val="28"/>
                                  <w:lang w:val="es-ES"/>
                                </w:rPr>
                                <w:t>16 de octubre de 2024</w:t>
                              </w:r>
                            </w:p>
                          </w:sdtContent>
                        </w:sdt>
                        <w:p w:rsidR="00CE7C88" w:rsidRPr="00CE7C88" w:rsidRDefault="00CE7C88">
                          <w:pPr>
                            <w:pStyle w:val="Sinespaciado"/>
                            <w:jc w:val="center"/>
                            <w:rPr>
                              <w:color w:val="5B9BD5" w:themeColor="accent1"/>
                              <w:lang w:val="es-MX"/>
                            </w:rPr>
                          </w:pPr>
                          <w:sdt>
                            <w:sdtPr>
                              <w:rPr>
                                <w:caps/>
                                <w:color w:val="5B9BD5" w:themeColor="accent1"/>
                                <w:lang w:val="es-MX"/>
                              </w:rPr>
                              <w:alias w:val="Compañía"/>
                              <w:tag w:val=""/>
                              <w:id w:val="1390145197"/>
                              <w:dataBinding w:prefixMappings="xmlns:ns0='http://schemas.openxmlformats.org/officeDocument/2006/extended-properties' " w:xpath="/ns0:Properties[1]/ns0:Company[1]" w:storeItemID="{6668398D-A668-4E3E-A5EB-62B293D839F1}"/>
                              <w:text/>
                            </w:sdtPr>
                            <w:sdtContent>
                              <w:r w:rsidRPr="00CE7C88">
                                <w:rPr>
                                  <w:caps/>
                                  <w:color w:val="5B9BD5" w:themeColor="accent1"/>
                                  <w:lang w:val="es-MX"/>
                                </w:rPr>
                                <w:t>minerva berenice ortiz herrera</w:t>
                              </w:r>
                            </w:sdtContent>
                          </w:sdt>
                        </w:p>
                        <w:p w:rsidR="00CE7C88" w:rsidRDefault="00CE7C88">
                          <w:pPr>
                            <w:pStyle w:val="Sinespaciado"/>
                            <w:jc w:val="center"/>
                            <w:rPr>
                              <w:color w:val="5B9BD5" w:themeColor="accent1"/>
                            </w:rPr>
                          </w:pPr>
                          <w:sdt>
                            <w:sdtPr>
                              <w:rPr>
                                <w:color w:val="5B9BD5" w:themeColor="accent1"/>
                              </w:rPr>
                              <w:alias w:val="Dirección"/>
                              <w:tag w:val=""/>
                              <w:id w:val="-726379553"/>
                              <w:dataBinding w:prefixMappings="xmlns:ns0='http://schemas.microsoft.com/office/2006/coverPageProps' " w:xpath="/ns0:CoverPageProperties[1]/ns0:CompanyAddress[1]" w:storeItemID="{55AF091B-3C7A-41E3-B477-F2FDAA23CFDA}"/>
                              <w:text/>
                            </w:sdtPr>
                            <w:sdtContent>
                              <w:proofErr w:type="spellStart"/>
                              <w:r>
                                <w:rPr>
                                  <w:color w:val="5B9BD5" w:themeColor="accent1"/>
                                </w:rPr>
                                <w:t>Semana</w:t>
                              </w:r>
                              <w:proofErr w:type="spellEnd"/>
                              <w:r>
                                <w:rPr>
                                  <w:color w:val="5B9BD5" w:themeColor="accent1"/>
                                </w:rPr>
                                <w:t xml:space="preserve"> 4, </w:t>
                              </w:r>
                              <w:proofErr w:type="spellStart"/>
                              <w:r>
                                <w:rPr>
                                  <w:color w:val="5B9BD5" w:themeColor="accent1"/>
                                </w:rPr>
                                <w:t>Actividad</w:t>
                              </w:r>
                              <w:proofErr w:type="spellEnd"/>
                              <w:r>
                                <w:rPr>
                                  <w:color w:val="5B9BD5" w:themeColor="accent1"/>
                                </w:rPr>
                                <w:t xml:space="preserve"> 4, Derecho Constitucional</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E7C88" w:rsidRDefault="00CE7C88">
          <w:pPr>
            <w:rPr>
              <w:rFonts w:ascii="Arial" w:hAnsi="Arial" w:cs="Arial"/>
              <w:sz w:val="24"/>
              <w:lang w:val="es-MX"/>
            </w:rPr>
          </w:pPr>
          <w:r>
            <w:rPr>
              <w:rFonts w:ascii="Arial" w:hAnsi="Arial" w:cs="Arial"/>
              <w:sz w:val="24"/>
              <w:lang w:val="es-MX"/>
            </w:rPr>
            <w:br w:type="page"/>
          </w:r>
        </w:p>
      </w:sdtContent>
    </w:sdt>
    <w:p w:rsidR="00D95850" w:rsidRPr="00492F8B" w:rsidRDefault="00492F8B" w:rsidP="00492F8B">
      <w:pPr>
        <w:jc w:val="center"/>
        <w:rPr>
          <w:rFonts w:ascii="Arial" w:hAnsi="Arial" w:cs="Arial"/>
          <w:b/>
          <w:sz w:val="28"/>
          <w:lang w:val="es-MX"/>
        </w:rPr>
      </w:pPr>
      <w:r w:rsidRPr="00492F8B">
        <w:rPr>
          <w:rFonts w:ascii="Arial" w:hAnsi="Arial" w:cs="Arial"/>
          <w:b/>
          <w:sz w:val="28"/>
          <w:lang w:val="es-MX"/>
        </w:rPr>
        <w:lastRenderedPageBreak/>
        <w:t>División de poderes en México</w:t>
      </w:r>
    </w:p>
    <w:p w:rsidR="00492F8B" w:rsidRDefault="00492F8B" w:rsidP="00492F8B">
      <w:pPr>
        <w:jc w:val="both"/>
        <w:rPr>
          <w:rFonts w:ascii="Arial" w:hAnsi="Arial" w:cs="Arial"/>
          <w:sz w:val="24"/>
          <w:lang w:val="es-MX"/>
        </w:rPr>
      </w:pPr>
      <w:r w:rsidRPr="00492F8B">
        <w:rPr>
          <w:rFonts w:ascii="Arial" w:hAnsi="Arial" w:cs="Arial"/>
          <w:sz w:val="24"/>
          <w:lang w:val="es-MX"/>
        </w:rPr>
        <w:t>La división de poderes es un principio fundamental en el diseño institucional de los Estados modernos. En México, esta doctrina se establece en la Constitución de 1917 y tiene como objetivo evitar la concentración del poder, garantizando así la democracia y el respeto a los derechos humanos. La división se articula en tres poderes: el Ejecutivo, el Legislativo y el Judicial, cada uno con funciones y atribuciones específicas que buscan mantener un equilibrio y una ad</w:t>
      </w:r>
      <w:r>
        <w:rPr>
          <w:rFonts w:ascii="Arial" w:hAnsi="Arial" w:cs="Arial"/>
          <w:sz w:val="24"/>
          <w:lang w:val="es-MX"/>
        </w:rPr>
        <w:t>ecuada interacción entre ellos.</w:t>
      </w:r>
    </w:p>
    <w:p w:rsidR="00492F8B" w:rsidRP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t xml:space="preserve">El Poder </w:t>
      </w:r>
      <w:r>
        <w:rPr>
          <w:rFonts w:ascii="Arial" w:hAnsi="Arial" w:cs="Arial"/>
          <w:b/>
          <w:sz w:val="24"/>
          <w:lang w:val="es-MX"/>
        </w:rPr>
        <w:t>Ejecutivo</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El Poder Ejecutivo es encabezado por el Presidente de la República, quien es elegido por voto popular y desempeña su cargo por un periodo de seis años, sin posibilidad de reelección (Constitución Política de los Estados Unidos Mexicanos, 1917). Este poder es responsable de la administración pública, la implementación de políticas y la representación del pa</w:t>
      </w:r>
      <w:r>
        <w:rPr>
          <w:rFonts w:ascii="Arial" w:hAnsi="Arial" w:cs="Arial"/>
          <w:sz w:val="24"/>
          <w:lang w:val="es-MX"/>
        </w:rPr>
        <w:t>ís en el ámbito internacional.</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La figura presidencial en México ha sido históricamente potente. Sin embargo, ha habido críticas sobre la tendencia del Ejecutivo a concentrar poder, lo que puede erosionar la autonomía de los otros poderes (González, 2018). Un ejemplo reciente es la controversia sobre la reforma energética, donde se ha acusado al Ejecutivo de tratar de desplazar las decisiones del Legislativo y el Judicial (Zúñiga, 2020).</w:t>
      </w:r>
    </w:p>
    <w:p w:rsidR="00492F8B" w:rsidRP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t>El Poder Legislativo</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 xml:space="preserve">El Poder Legislativo se compone de dos cámaras: el Senado y la Cámara de Diputados. Esta estructura bicameral tiene como función principal la creación y modificación de leyes, así como la aprobación del presupuesto federal y la supervisión de la administración pública. Los senadores y diputados son elegidos mediante sufragio y representan la voluntad popular, lo que les otorga un </w:t>
      </w:r>
      <w:r>
        <w:rPr>
          <w:rFonts w:ascii="Arial" w:hAnsi="Arial" w:cs="Arial"/>
          <w:sz w:val="24"/>
          <w:lang w:val="es-MX"/>
        </w:rPr>
        <w:t>papel crucial en la democracia.</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Uno de los desafíos del Legislativo es su capacidad para operar de manera eficaz y representativa. A menudo, la fragmentación política y las dinámicas de coalición pueden dificultar la toma de decisiones. Además, la relación entre el Ejecutivo y el Legislativo ha sido tensa, sobre todo en contextos donde los partidos tienen visiones divergentes sobre políticas públicas.</w:t>
      </w:r>
    </w:p>
    <w:p w:rsidR="00492F8B" w:rsidRDefault="00492F8B" w:rsidP="00492F8B">
      <w:pPr>
        <w:jc w:val="both"/>
        <w:rPr>
          <w:rFonts w:ascii="Arial" w:hAnsi="Arial" w:cs="Arial"/>
          <w:sz w:val="24"/>
          <w:lang w:val="es-MX"/>
        </w:rPr>
      </w:pPr>
    </w:p>
    <w:p w:rsid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lastRenderedPageBreak/>
        <w:t>El Poder Judicial</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El Poder Judicial es el encargado de interpretar y aplicar las leyes, así como de proteger los derechos de los ciudadanos. Su estructura incluye la Suprema Corte de Justicia de la Nación, los tribunales colegiados y los juzgados de primera instancia. La independencia del Poder Judicial es esencial para garantizar un sistema de j</w:t>
      </w:r>
      <w:r>
        <w:rPr>
          <w:rFonts w:ascii="Arial" w:hAnsi="Arial" w:cs="Arial"/>
          <w:sz w:val="24"/>
          <w:lang w:val="es-MX"/>
        </w:rPr>
        <w:t>usticia imparcial y equitativo.</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No obstante, la independencia judicial en México ha sido cuestionada, especialmente en contextos de corrupción e influencia política. La falta de recursos, la presión mediática y el temor a represalias pueden afectar la capacidad de los jueces para actuar sin sesgos. Fortalecer la independencia del Poder Judicial es crucial para preservar el estado de derecho y la confianza ciudadana en las instituciones.</w:t>
      </w:r>
    </w:p>
    <w:p w:rsidR="00492F8B" w:rsidRP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t>Interacción y Equilibrio</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La interacción entre los tres poderes es esencial para el funcionamiento del sistema democrático. Cada poder tiene mecanismos de control sobre los otros: el Ejecutivo puede proponer leyes, el Legislativo puede revisar y modificar las acciones del Ejecutivo, y el Judicial puede anular leyes o acciones que consideren inconstitucionales. Este sistema de "</w:t>
      </w:r>
      <w:proofErr w:type="spellStart"/>
      <w:r w:rsidRPr="00492F8B">
        <w:rPr>
          <w:rFonts w:ascii="Arial" w:hAnsi="Arial" w:cs="Arial"/>
          <w:sz w:val="24"/>
          <w:lang w:val="es-MX"/>
        </w:rPr>
        <w:t>checks</w:t>
      </w:r>
      <w:proofErr w:type="spellEnd"/>
      <w:r w:rsidRPr="00492F8B">
        <w:rPr>
          <w:rFonts w:ascii="Arial" w:hAnsi="Arial" w:cs="Arial"/>
          <w:sz w:val="24"/>
          <w:lang w:val="es-MX"/>
        </w:rPr>
        <w:t xml:space="preserve"> and balances" busca prevenir abusos y garantizar que ningún poder se vuelva domin</w:t>
      </w:r>
      <w:r>
        <w:rPr>
          <w:rFonts w:ascii="Arial" w:hAnsi="Arial" w:cs="Arial"/>
          <w:sz w:val="24"/>
          <w:lang w:val="es-MX"/>
        </w:rPr>
        <w:t>ante.</w:t>
      </w:r>
    </w:p>
    <w:p w:rsidR="00492F8B" w:rsidRDefault="00492F8B" w:rsidP="00492F8B">
      <w:pPr>
        <w:jc w:val="both"/>
        <w:rPr>
          <w:rFonts w:ascii="Arial" w:hAnsi="Arial" w:cs="Arial"/>
          <w:sz w:val="24"/>
          <w:lang w:val="es-MX"/>
        </w:rPr>
      </w:pPr>
      <w:r>
        <w:rPr>
          <w:rFonts w:ascii="Arial" w:hAnsi="Arial" w:cs="Arial"/>
          <w:sz w:val="24"/>
          <w:lang w:val="es-MX"/>
        </w:rPr>
        <w:t>Lo curioso es que</w:t>
      </w:r>
      <w:r w:rsidRPr="00492F8B">
        <w:rPr>
          <w:rFonts w:ascii="Arial" w:hAnsi="Arial" w:cs="Arial"/>
          <w:sz w:val="24"/>
          <w:lang w:val="es-MX"/>
        </w:rPr>
        <w:t>, en la práctica, esta interacción no siempre es fluida. Las tensiones políticas y los intereses partidistas pueden dificultar la cooperación entre los poderes, lo que a menudo resulta en bloqueos legislativos o en la falta de implementación de políticas públicas efectivas.</w:t>
      </w:r>
    </w:p>
    <w:p w:rsid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t>Interacción y Equilibrio</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La interacción entre los tres poderes es esencial para el funcionamiento del sistema democrático. Cada poder tiene mecanismos de control sobre los otros: el Ejecutivo puede proponer leyes, el Legislativo puede revisar y modificar las acciones del Ejecutivo, y el Judicial puede anular leyes o acciones que considere inconstitucionales (Ramírez, 2019). Este sistema de "</w:t>
      </w:r>
      <w:proofErr w:type="spellStart"/>
      <w:r w:rsidRPr="00492F8B">
        <w:rPr>
          <w:rFonts w:ascii="Arial" w:hAnsi="Arial" w:cs="Arial"/>
          <w:sz w:val="24"/>
          <w:lang w:val="es-MX"/>
        </w:rPr>
        <w:t>checks</w:t>
      </w:r>
      <w:proofErr w:type="spellEnd"/>
      <w:r w:rsidRPr="00492F8B">
        <w:rPr>
          <w:rFonts w:ascii="Arial" w:hAnsi="Arial" w:cs="Arial"/>
          <w:sz w:val="24"/>
          <w:lang w:val="es-MX"/>
        </w:rPr>
        <w:t xml:space="preserve"> and balances" busca prevenir abusos y garantizar que ni</w:t>
      </w:r>
      <w:r>
        <w:rPr>
          <w:rFonts w:ascii="Arial" w:hAnsi="Arial" w:cs="Arial"/>
          <w:sz w:val="24"/>
          <w:lang w:val="es-MX"/>
        </w:rPr>
        <w:t>ngún poder se vuelva dominante.</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Sin embargo, las tensiones políticas y los intereses partidistas pueden dificultar esta cooperación. La polarización política ha llevado a situaciones en las que los poderes no logran colaborar en la implementación de políticas públicas efectivas (Hernández, 2021).</w:t>
      </w:r>
    </w:p>
    <w:p w:rsidR="00492F8B" w:rsidRP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lastRenderedPageBreak/>
        <w:t>Conclusión</w:t>
      </w:r>
    </w:p>
    <w:p w:rsidR="00492F8B" w:rsidRDefault="00492F8B" w:rsidP="00492F8B">
      <w:pPr>
        <w:jc w:val="both"/>
        <w:rPr>
          <w:rFonts w:ascii="Arial" w:hAnsi="Arial" w:cs="Arial"/>
          <w:sz w:val="24"/>
          <w:lang w:val="es-MX"/>
        </w:rPr>
      </w:pPr>
      <w:r w:rsidRPr="00492F8B">
        <w:rPr>
          <w:rFonts w:ascii="Arial" w:hAnsi="Arial" w:cs="Arial"/>
          <w:sz w:val="24"/>
          <w:lang w:val="es-MX"/>
        </w:rPr>
        <w:t>La división de poderes en México es un pilar fundamental de la democracia y del estado de derecho. Si bien la estructura formal de poderes está claramente delineada en la Constitución, la realidad política y social a menudo presenta desafíos significativos. Para fortalecer esta división y garantizar un verdadero equilibrio, es necesario promover la transparencia, la rendición de cuentas y la participación ciudadana. Solo así se podrá construir un sistema democrático más robusto y representativo, capaz de responder a las necesidades de la sociedad mexicana.</w:t>
      </w:r>
    </w:p>
    <w:p w:rsidR="00492F8B" w:rsidRDefault="00492F8B" w:rsidP="00492F8B">
      <w:pPr>
        <w:jc w:val="both"/>
        <w:rPr>
          <w:rFonts w:ascii="Arial" w:hAnsi="Arial" w:cs="Arial"/>
          <w:sz w:val="24"/>
          <w:lang w:val="es-MX"/>
        </w:rPr>
      </w:pPr>
    </w:p>
    <w:p w:rsidR="00492F8B" w:rsidRPr="00492F8B" w:rsidRDefault="00492F8B" w:rsidP="00492F8B">
      <w:pPr>
        <w:jc w:val="both"/>
        <w:rPr>
          <w:rFonts w:ascii="Arial" w:hAnsi="Arial" w:cs="Arial"/>
          <w:b/>
          <w:sz w:val="24"/>
          <w:lang w:val="es-MX"/>
        </w:rPr>
      </w:pPr>
      <w:r w:rsidRPr="00492F8B">
        <w:rPr>
          <w:rFonts w:ascii="Arial" w:hAnsi="Arial" w:cs="Arial"/>
          <w:b/>
          <w:sz w:val="24"/>
          <w:lang w:val="es-MX"/>
        </w:rPr>
        <w:t>Bibliografías</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Constitución Política de los Estados Unidos Mexicanos. (1917).</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Cervantes, M. (2022). La independencia judicial en México: retos y perspectivas. Editorial Jurídica.</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García, R. (2019). El sistema legislativo mexicano y su papel en la democracia. Revista de Derecho Político, 12(1), 45-67.</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González, J. (2018). El poder ejecutivo en México: una historia de concentración. Fondo de Cultura Económica.</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Hernández, A. (2021). Polarización política y su impacto en el sistema democrático mexicano. Análisis Político, 15(2), 89-104.</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López, F. (2021). La fragmentación legislativa en México: causas y consecuencias. Revista Mexicana de Política, 8(3), 23-39.</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 xml:space="preserve">Ramírez, S. (2019). </w:t>
      </w:r>
      <w:proofErr w:type="spellStart"/>
      <w:r w:rsidRPr="00492F8B">
        <w:rPr>
          <w:rFonts w:ascii="Arial" w:hAnsi="Arial" w:cs="Arial"/>
          <w:sz w:val="24"/>
          <w:lang w:val="es-MX"/>
        </w:rPr>
        <w:t>Checks</w:t>
      </w:r>
      <w:proofErr w:type="spellEnd"/>
      <w:r w:rsidRPr="00492F8B">
        <w:rPr>
          <w:rFonts w:ascii="Arial" w:hAnsi="Arial" w:cs="Arial"/>
          <w:sz w:val="24"/>
          <w:lang w:val="es-MX"/>
        </w:rPr>
        <w:t xml:space="preserve"> and balances en el sistema político mexicano. Universidad Nacional Autónoma de México.</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 xml:space="preserve">Vázquez, L. (2020). Corrupción y justicia: un análisis del Poder Judicial en México. Ediciones </w:t>
      </w:r>
      <w:proofErr w:type="spellStart"/>
      <w:r w:rsidRPr="00492F8B">
        <w:rPr>
          <w:rFonts w:ascii="Arial" w:hAnsi="Arial" w:cs="Arial"/>
          <w:sz w:val="24"/>
          <w:lang w:val="es-MX"/>
        </w:rPr>
        <w:t>Scripta</w:t>
      </w:r>
      <w:proofErr w:type="spellEnd"/>
      <w:r w:rsidRPr="00492F8B">
        <w:rPr>
          <w:rFonts w:ascii="Arial" w:hAnsi="Arial" w:cs="Arial"/>
          <w:sz w:val="24"/>
          <w:lang w:val="es-MX"/>
        </w:rPr>
        <w:t>.</w:t>
      </w:r>
    </w:p>
    <w:p w:rsidR="00492F8B" w:rsidRPr="00492F8B" w:rsidRDefault="00492F8B" w:rsidP="00492F8B">
      <w:pPr>
        <w:jc w:val="both"/>
        <w:rPr>
          <w:rFonts w:ascii="Arial" w:hAnsi="Arial" w:cs="Arial"/>
          <w:sz w:val="24"/>
          <w:lang w:val="es-MX"/>
        </w:rPr>
      </w:pPr>
      <w:r w:rsidRPr="00492F8B">
        <w:rPr>
          <w:rFonts w:ascii="Arial" w:hAnsi="Arial" w:cs="Arial"/>
          <w:sz w:val="24"/>
          <w:lang w:val="es-MX"/>
        </w:rPr>
        <w:t>Zúñiga, T. (2020). Reforma energética: entre la promesa y la realidad. Revista de Energía y Política, 6(4), 101-118.</w:t>
      </w:r>
    </w:p>
    <w:sectPr w:rsidR="00492F8B" w:rsidRPr="00492F8B" w:rsidSect="00CE7C88">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AA"/>
    <w:rsid w:val="004076AA"/>
    <w:rsid w:val="00492F8B"/>
    <w:rsid w:val="00CE7C88"/>
    <w:rsid w:val="00D9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63C9"/>
  <w15:chartTrackingRefBased/>
  <w15:docId w15:val="{4D2FBD50-E910-4C02-BFDE-54B7F65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E7C88"/>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E7C8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E0901A167C4D3F8E8870048EFB0EE6"/>
        <w:category>
          <w:name w:val="General"/>
          <w:gallery w:val="placeholder"/>
        </w:category>
        <w:types>
          <w:type w:val="bbPlcHdr"/>
        </w:types>
        <w:behaviors>
          <w:behavior w:val="content"/>
        </w:behaviors>
        <w:guid w:val="{FB2BDC3C-ADC6-4FC2-93C5-1719BC4D7EE0}"/>
      </w:docPartPr>
      <w:docPartBody>
        <w:p w:rsidR="00000000" w:rsidRDefault="00AF3EEB" w:rsidP="00AF3EEB">
          <w:pPr>
            <w:pStyle w:val="68E0901A167C4D3F8E8870048EFB0EE6"/>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5B2897B3910B4AF09D615A6D7F95FCEE"/>
        <w:category>
          <w:name w:val="General"/>
          <w:gallery w:val="placeholder"/>
        </w:category>
        <w:types>
          <w:type w:val="bbPlcHdr"/>
        </w:types>
        <w:behaviors>
          <w:behavior w:val="content"/>
        </w:behaviors>
        <w:guid w:val="{3868025A-71B7-4E1B-9338-3FB0CA1AAF90}"/>
      </w:docPartPr>
      <w:docPartBody>
        <w:p w:rsidR="00000000" w:rsidRDefault="00AF3EEB" w:rsidP="00AF3EEB">
          <w:pPr>
            <w:pStyle w:val="5B2897B3910B4AF09D615A6D7F95FCEE"/>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EB"/>
    <w:rsid w:val="00AF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8E0901A167C4D3F8E8870048EFB0EE6">
    <w:name w:val="68E0901A167C4D3F8E8870048EFB0EE6"/>
    <w:rsid w:val="00AF3EEB"/>
  </w:style>
  <w:style w:type="paragraph" w:customStyle="1" w:styleId="5B2897B3910B4AF09D615A6D7F95FCEE">
    <w:name w:val="5B2897B3910B4AF09D615A6D7F95FCEE"/>
    <w:rsid w:val="00AF3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2024-10-16T00:00:00</PublishDate>
  <Abstract/>
  <CompanyAddress>Semana 4, Actividad 4, Derecho Constitucional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52D4BD-3FDE-485D-9924-1956B601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910</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minerva berenice ortiz herrera</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ensayo</dc:title>
  <dc:subject>División de Poderes en México</dc:subject>
  <dc:creator>Usuario de Windows</dc:creator>
  <cp:keywords/>
  <dc:description/>
  <cp:lastModifiedBy>Usuario de Windows</cp:lastModifiedBy>
  <cp:revision>2</cp:revision>
  <dcterms:created xsi:type="dcterms:W3CDTF">2024-10-17T01:46:00Z</dcterms:created>
  <dcterms:modified xsi:type="dcterms:W3CDTF">2024-10-17T02:03:00Z</dcterms:modified>
</cp:coreProperties>
</file>